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I/1-2021/183, 184 vom 24. November 2022</w:t>
      </w:r>
    </w:p>
    <w:p>
      <w:r>
        <w:t>Sg Verwaltungsrekurskommission, 2022-11-24, DE</w:t>
      </w:r>
    </w:p>
    <w:p>
      <w:r>
        <w:rPr>
          <w:b/>
        </w:rPr>
        <w:t xml:space="preserve">Quelle: </w:t>
      </w:r>
      <w:r>
        <w:t>https://mcp.opencaselaw.ch/entscheid/sg_publikationen_I_1-2021_183, 184</w:t>
      </w:r>
    </w:p>
    <w:p>
      <w:r>
        <w:t>FR: SG_VERWALTUNGSREKURSKOMMISSION I/1-2021/183, 184 du 24 novembre 2022</w:t>
      </w:r>
    </w:p>
    <w:p>
      <w:r>
        <w:t>IT: SG_VERWALTUNGSREKURSKOMMISSION I/1-2021/183, 184 del 24 novembre 2022</w:t>
      </w:r>
    </w:p>
    <w:p>
      <w:pPr>
        <w:pStyle w:val="Heading2"/>
      </w:pPr>
      <w:r>
        <w:t>Regeste</w:t>
      </w:r>
    </w:p>
    <w:p>
      <w:r>
        <w:t>Art. 51 StG; Art. 37 DB; Art. 11 Abs. 2 StHG (IV-Rentennachzahlung). Die Umrechnung der Nachzahlung zu einer vollen Jahresleistung plus die Berücksichtigung von zusätzlich ordentlichen Renteneinkommen führt dazu, dass der massgebende Steuersatz höher ausfällt als wenn die Rente durchgehend über die gesamte Steuerperiode, namentlich zwölf Mal, ordentlich ausbezahlt worden wäre. Die aufgelaufenen Leistungen, die ordentlicherweise periodisch geschuldet wären, wurden unabhängig vom Willen des Rekurrenten durch eine einmalige Zahlung beglichen, ohne dass der Rekurrent auf die Zahlungsart oder den Auszahlungszeitpunkt Einfluss gehabt hat. Dies mag unbillig erscheinen, entspricht jedoch langjähriger bundesgerichtlicher als auch kantonaler Rechtsprechung. (Verwaltungsrekurskommission, Abteilung I/1, 24. November 2022, I/1-2021/183, 184).</w:t>
      </w:r>
    </w:p>
    <w:p>
      <w:pPr>
        <w:pStyle w:val="Heading2"/>
      </w:pPr>
      <w:r>
        <w:t>Erwägungen</w:t>
      </w:r>
    </w:p>
    <w:p>
      <w:r>
        <w:rPr>
          <w:b/>
        </w:rPr>
        <w:t>E. 1</w:t>
      </w:r>
    </w:p>
    <w:p>
      <w:r>
        <w:t>Die Verfahren I/1-2021/183 (Kantonssteuer 2019) und I/1-2022/184 (Direkte Bundes- steuer 2019) betreffen die gleiche Verfahrenspartei. Die sich in den Verfahren stellenden Fragen hängen aktenmässig und inhaltlich eng zusammen. Vor diesem Hintergrund er- scheint es gerechtfertigt, den Rekurs und die Beschwerde im gleichen Entscheid, aber mit getrennten Dispositivziffern zu erledigen (BGE 130 II 509 E. 8.3 = Pra 94 [2005] Nr. 114; BGE 135 II 260 E. 1.3 und 142 II 293 E. 1.2; Urteil des Bundesgerichts [BGer] 2C_440 und 441/2014 vom 10. Oktober 2014 E. 1.2).</w:t>
      </w:r>
    </w:p>
    <w:p>
      <w:r>
        <w:rPr>
          <w:b/>
        </w:rPr>
        <w:t>E. 2</w:t>
      </w:r>
    </w:p>
    <w:p>
      <w:r>
        <w:t>[Eintretensvoraussetzungen] II. Kantons- und Gemeindesteuern</w:t>
      </w:r>
    </w:p>
    <w:p>
      <w:r>
        <w:rPr>
          <w:b/>
        </w:rPr>
        <w:t>E. 3</w:t>
      </w:r>
    </w:p>
    <w:p>
      <w:r>
        <w:t>Aufl. 2017, Art. 11 N 36e) und die etablierte Praxis zu bestätigen (Urteil des Bundesge- richts [BGer] 2C_486, 487/2014 E. 3.5; BGer 2A_118/2006 E. 2.3; SGE 2010 Nr. 26). Dem- nach ist es unerheblich, in welchem Zeitpunkt innerhalb der Steuerperiode die Kapitalleis- tung zugeflossen ist (I. BAUMGARTNER, a.a.O., Art. 37 N 13). Die laufende Rente wird mithin nicht in die Umrechnung der Nachzahlung einbezogen, sondern als übrige Einkunft zum satzbestimmenden Einkommen hinzugezählt. Es liegt auf der Hand, dass die Umrechnung der Nachzahlung zu einer vollen Jahresleistung plus die Berücksichtigung von zusätzlich ordentlichen Renteneinkommen dazu führt, dass der massgebende Steuersatz höher aus- fällt als wenn die Rente durchgehend über die gesamte Steuerperiode, namentlich zwölf Mal, ordentlich ausbezahlt worden wäre. Der Rekurrent hat folglich das steuerbare Einkom- men 2019 gesamthaft – progressionsbedingt – zu seiner wirtschaftlichen Leistungsfähigkeit nicht entsprechenden und insofern überhöhten Steuersatz zu versteuern; dies, obschon es sich bei der fraglichen Rentennachzahlung (als hauptsächlichem Einkommensbestandteil des betreffenden Steuerjahres) um eine aperiodische Einnahme handelte (vgl. hierzu aus- führlich BGer 2A_68/2000 E. 4). Das Ergebnis erscheint insofern unbillig, da die aufgelau- fenen Leistungen, die ordentlicherweise – insbesondere kraft Gesetzesvorschrift – perio- disch geschuldet wären, unabhängig vom Willen des Rekurrenten durch eine einmalige Zahlung beglichen wurde, ohne dass der Rekurrent auf die Zahlungsart oder den Auszah- lungszeitpunkt Einfluss gehabt hat. Unter diesem Gesichtspunkt mag die Berechnungs- weise des Rekurrenten zwar zu einem sachlich besser befriedigenden Ergebnis führen, steht aber weder mit der dargelegten langjährigen bundesgerichtlichen als auch kantonalen Rechtsprechung noch Praxis im Einklang. Die Änderung einer Rechtsprechung muss sich auf ernsthafte sachliche Gründe stützen können, die – vor allem im Hinblick auf das Gebot der Rechtssicherheit – umso gewichtiger sein müssen, je länger die als falsch oder nicht mehr zeitgemäss erkannte Rechtsanwen- dung für zutreffend erachtet worden ist. Eine Praxisänderung lässt sich grundsätzlich nur begründen, wenn die neue Lösung besserer Erkenntnis der ratio legis, veränderten äusse- ren Verhältnissen oder gewandelten Rechtsanschauungen entspricht (BGE 138 III 359 E. 6.1, 137 V 314 E. 2.2, 136 III 6 E. 3, 135 I 79 E. 3, 134 V 72 E. 3.3). Die bundesgerichtlich etablierte Praxis wird weitgehend mit der ratio legis (Vereinfachung) begründet (BGer 2C_487/2014 E. 3.5, 2C_640/2010 E. 3.3 m.w.H., 2A_118/2006 E. 2.3). Zudem ist ein schematisches Vorgehen im Steuerrecht als Massenfallrecht unausweichlich und zulässig I/1-2021/183, 184 6/7</w:t>
      </w:r>
    </w:p>
    <w:p>
      <w:r>
        <w:t>(BGE 131 I 291 E. 3.2.1, BGer 2A_118/2006 E. 2.32). Im Rahmen der Auslegung von Art. 51 StG hegt die Begründung des Rekurrenten keine neuen Erkenntnisse oder bessere Lösung diesem nach bundesgerichtlicher Rechtsprechung gebotenen schematischen Vor- gehen. Es besteht daher kein Anlass von der bisherigen Rechtsprechung abzuweichen. Die vorinstanzliche Bemessung des satzbestimmenden Einkommens des Rekurrenten im Jahr 2019 deckt sich mit der bundesgerichtlichen Rechtsprechung, weshalb der Rekurs abzu- weisen ist. III. Direkte Bundessteuer</w:t>
      </w:r>
    </w:p>
    <w:p>
      <w:r>
        <w:rPr>
          <w:b/>
        </w:rPr>
        <w:t>E. 4</w:t>
      </w:r>
    </w:p>
    <w:p>
      <w:r>
        <w:t>Die direkte Bundessteuer sieht in Art. 37 DBG die gleiche Besteuerung von Kapitalab- findungen für wiederkehrende Leistungen wie nach kantonalem Recht vor. Diese Bestim- mungen harmonieren mit Art. 11 Abs. 2 StHG. Daraus folgt, dass die Erwägungen zu den Kantons- und Gemeindesteuern für die direkte Bundessteuer analog massgebend sind. Für die direkte Bundessteuer ergibt sich damit dasselbe Ergebnis wie bei den Kantons- und Gemeindesteuern. Demnach ist die Beschwerde betreffend direkten Bundessteuer 2019 ebenfalls als unbegründet abzuweisen. IV. Kosten</w:t>
      </w:r>
    </w:p>
    <w:p>
      <w:r>
        <w:rPr>
          <w:b/>
        </w:rPr>
        <w:t>E. 5</w:t>
      </w:r>
    </w:p>
    <w:p>
      <w:r>
        <w:t>[Kostenspruch] Entscheid: 1. Der Rekurs wird abgewiesen. 2. Die Beschwerde wird abgewiesen. 3. Der Rekurrent hat die Kosten des Rekursverfahrens von Fr. 600.– (Entscheidgebühr) zu bezahlen, unter Verrechnung des Kostenvorschusses in gleicher Höhe. 4. Der Beschwerdeführer hat die Kosten des Beschwerdeverfahrens von Fr. 600.– (Ent- scheidgebühr) zu bezahlen, unter Verrechnung des Kostenvorschusses in gleicher Höhe. I/1-2021/183, 184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